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9039F" w14:textId="385CE9BB"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w:t>
      </w:r>
      <w:r w:rsidR="008B597B">
        <w:rPr>
          <w:b/>
          <w:noProof/>
          <w:sz w:val="24"/>
        </w:rPr>
        <w:t>220</w:t>
      </w:r>
      <w:r w:rsidR="008B597B">
        <w:rPr>
          <w:b/>
          <w:noProof/>
          <w:sz w:val="24"/>
        </w:rPr>
        <w:t>7435</w:t>
      </w:r>
    </w:p>
    <w:p w14:paraId="463CAF9F" w14:textId="2935F415" w:rsidR="00C91134" w:rsidRDefault="00C91134" w:rsidP="00C91134">
      <w:pPr>
        <w:pStyle w:val="CRCoverPage"/>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35F2F7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ac"/>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247B63FB" w:rsidR="008B700A" w:rsidRDefault="00DC7E2B" w:rsidP="008B700A">
      <w:pPr>
        <w:rPr>
          <w:rFonts w:ascii="Arial" w:hAnsi="Arial" w:cs="Arial"/>
        </w:rPr>
      </w:pPr>
      <w:r w:rsidRPr="00676273">
        <w:rPr>
          <w:rFonts w:ascii="Arial" w:hAnsi="Arial" w:cs="Arial"/>
        </w:rPr>
        <w:t xml:space="preserve">SA2 </w:t>
      </w:r>
      <w:r w:rsidR="008B700A">
        <w:rPr>
          <w:rFonts w:ascii="Arial" w:hAnsi="Arial" w:cs="Arial"/>
        </w:rPr>
        <w:t>starts the Rel-18 study F</w:t>
      </w:r>
      <w:r w:rsidR="008B597B">
        <w:rPr>
          <w:rFonts w:ascii="Arial" w:hAnsi="Arial" w:cs="Arial"/>
        </w:rPr>
        <w:t>S_eNS_Ph3 study in TR 23.700-41</w:t>
      </w:r>
      <w:r w:rsidR="008B700A">
        <w:rPr>
          <w:rFonts w:ascii="Arial" w:hAnsi="Arial" w:cs="Arial"/>
        </w:rPr>
        <w:t xml:space="preserve">. This study includes 6 key issues and </w:t>
      </w:r>
      <w:r w:rsidR="008B597B">
        <w:rPr>
          <w:rFonts w:ascii="Arial" w:hAnsi="Arial" w:cs="Arial"/>
        </w:rPr>
        <w:t>associated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77777777" w:rsidR="005A2871" w:rsidRDefault="005A2871" w:rsidP="008B700A">
      <w:pPr>
        <w:rPr>
          <w:rFonts w:ascii="Arial" w:hAnsi="Arial" w:cs="Arial"/>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572A8DD3" w14:textId="506D7827" w:rsidR="005A2871" w:rsidRDefault="005A2871" w:rsidP="00FA7ADF">
      <w:pPr>
        <w:pStyle w:val="B1"/>
        <w:numPr>
          <w:ilvl w:val="0"/>
          <w:numId w:val="17"/>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sidR="000F2015">
        <w:rPr>
          <w:rFonts w:eastAsia="Malgun Gothic"/>
        </w:rPr>
        <w:t>Secondary</w:t>
      </w:r>
      <w:r w:rsidR="000F2015" w:rsidRPr="00E878F1">
        <w:rPr>
          <w:rFonts w:eastAsia="Malgun Gothic"/>
        </w:rPr>
        <w:t xml:space="preserve"> </w:t>
      </w:r>
      <w:r w:rsidRPr="00E878F1">
        <w:rPr>
          <w:rFonts w:eastAsia="Malgun Gothic"/>
        </w:rPr>
        <w:t>TAIs</w:t>
      </w:r>
      <w:r>
        <w:rPr>
          <w:rFonts w:eastAsia="Malgun Gothic"/>
        </w:rPr>
        <w:t xml:space="preserve"> (up to a number RAN2 agrees</w:t>
      </w:r>
      <w:r w:rsidR="000F2015">
        <w:rPr>
          <w:rFonts w:eastAsia="Malgun Gothic"/>
        </w:rPr>
        <w:t>, we note that for NTN is already possible to broadcast TWO TACs</w:t>
      </w:r>
      <w:r>
        <w:rPr>
          <w:rFonts w:eastAsia="Malgun Gothic"/>
        </w:rPr>
        <w:t>)</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w:t>
      </w:r>
      <w:r w:rsidR="000F2015">
        <w:rPr>
          <w:rFonts w:eastAsia="Malgun Gothic"/>
        </w:rPr>
        <w:t xml:space="preserve"> and between gNBs as per existing Tracking Area related information exchange procedures but with indication they are secondary.</w:t>
      </w:r>
      <w:r>
        <w:rPr>
          <w:rFonts w:eastAsia="Malgun Gothic"/>
        </w:rPr>
        <w:t xml:space="preserve"> The additional TAIs are associated with </w:t>
      </w:r>
      <w:r w:rsidR="000F2015">
        <w:rPr>
          <w:rFonts w:eastAsia="Malgun Gothic"/>
        </w:rPr>
        <w:t xml:space="preserve">specific </w:t>
      </w:r>
      <w:r>
        <w:rPr>
          <w:rFonts w:eastAsia="Malgun Gothic"/>
        </w:rPr>
        <w:t xml:space="preserve">S-NSSAI(s) </w:t>
      </w:r>
      <w:r w:rsidR="000F2015">
        <w:rPr>
          <w:rFonts w:eastAsia="Malgun Gothic"/>
        </w:rPr>
        <w:t xml:space="preserve">like the existing TAs </w:t>
      </w:r>
      <w:r>
        <w:rPr>
          <w:rFonts w:eastAsia="Malgun Gothic"/>
        </w:rPr>
        <w:t>and will be treated by</w:t>
      </w:r>
      <w:r w:rsidR="000F2015">
        <w:rPr>
          <w:rFonts w:eastAsia="Malgun Gothic"/>
        </w:rPr>
        <w:t xml:space="preserve"> UEs</w:t>
      </w:r>
      <w:r>
        <w:rPr>
          <w:rFonts w:eastAsia="Malgun Gothic"/>
        </w:rPr>
        <w:t xml:space="preserve"> supporting </w:t>
      </w:r>
      <w:r w:rsidR="000F2015">
        <w:rPr>
          <w:rFonts w:eastAsia="Malgun Gothic"/>
        </w:rPr>
        <w:t xml:space="preserve">secondary TAs </w:t>
      </w:r>
      <w:r>
        <w:rPr>
          <w:rFonts w:eastAsia="Malgun Gothic"/>
        </w:rPr>
        <w:t xml:space="preserve">as a normal Tracking area </w:t>
      </w:r>
      <w:bookmarkStart w:id="0" w:name="_GoBack"/>
      <w:bookmarkEnd w:id="0"/>
      <w:r>
        <w:rPr>
          <w:rFonts w:eastAsia="Malgun Gothic"/>
        </w:rPr>
        <w:t>from RM standpoint (</w:t>
      </w:r>
      <w:r w:rsidR="00DF4CFD">
        <w:rPr>
          <w:rFonts w:eastAsia="Malgun Gothic"/>
        </w:rPr>
        <w:t xml:space="preserve">as described in </w:t>
      </w:r>
      <w:r>
        <w:rPr>
          <w:rFonts w:eastAsia="Malgun Gothic"/>
        </w:rPr>
        <w:t>solution#9)</w:t>
      </w:r>
    </w:p>
    <w:p w14:paraId="168FBD2F" w14:textId="77777777" w:rsidR="005A2871" w:rsidRPr="00320611" w:rsidRDefault="005A2871" w:rsidP="005A2871">
      <w:pPr>
        <w:pStyle w:val="B1"/>
        <w:ind w:leftChars="200" w:left="967"/>
        <w:rPr>
          <w:rFonts w:eastAsia="Malgun Gothic"/>
        </w:rPr>
      </w:pPr>
    </w:p>
    <w:p w14:paraId="68E0E11D" w14:textId="77777777" w:rsidR="00AB07C5" w:rsidRPr="008B597B" w:rsidRDefault="005A2871" w:rsidP="00FA7ADF">
      <w:pPr>
        <w:pStyle w:val="B1"/>
        <w:numPr>
          <w:ilvl w:val="0"/>
          <w:numId w:val="17"/>
        </w:numPr>
        <w:rPr>
          <w:rFonts w:eastAsia="Malgun Gothic"/>
        </w:rPr>
      </w:pPr>
      <w:r>
        <w:rPr>
          <w:rFonts w:eastAsia="Malgun Gothic"/>
        </w:rPr>
        <w:t xml:space="preserve">Whether the NG-RAN can be configured with </w:t>
      </w:r>
      <w:r w:rsidRPr="003C07A8">
        <w:rPr>
          <w:lang w:val="en-US"/>
        </w:rPr>
        <w:t xml:space="preserve">a slice availability on a per-cell basis </w:t>
      </w:r>
      <w:r>
        <w:rPr>
          <w:lang w:val="en-US"/>
        </w:rPr>
        <w:t>and</w:t>
      </w:r>
    </w:p>
    <w:p w14:paraId="23596C46" w14:textId="7C21BA11" w:rsidR="005A2871" w:rsidRDefault="005A2871" w:rsidP="00AB07C5">
      <w:pPr>
        <w:pStyle w:val="B1"/>
        <w:numPr>
          <w:ilvl w:val="1"/>
          <w:numId w:val="17"/>
        </w:numPr>
        <w:rPr>
          <w:rFonts w:eastAsia="Malgun Gothic"/>
        </w:rPr>
      </w:pPr>
      <w:r>
        <w:rPr>
          <w:lang w:val="en-US"/>
        </w:rPr>
        <w:t xml:space="preserve"> inform AMF </w:t>
      </w:r>
      <w:r w:rsidR="000F2015">
        <w:rPr>
          <w:lang w:val="en-US"/>
        </w:rPr>
        <w:t xml:space="preserve">and other gNBs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34EC286B" w14:textId="2CB75F7D" w:rsidR="00AB07C5" w:rsidRDefault="00AB07C5" w:rsidP="008B597B">
      <w:pPr>
        <w:pStyle w:val="B1"/>
        <w:numPr>
          <w:ilvl w:val="1"/>
          <w:numId w:val="17"/>
        </w:numPr>
        <w:rPr>
          <w:rFonts w:eastAsia="Malgun Gothic"/>
        </w:rPr>
      </w:pPr>
      <w:r>
        <w:rPr>
          <w:lang w:eastAsia="zh-CN"/>
        </w:rPr>
        <w:t>Whether i</w:t>
      </w:r>
      <w:r>
        <w:rPr>
          <w:lang w:eastAsia="zh-CN"/>
        </w:rPr>
        <w:t>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 of the network slice is not guaranteed.(as described in </w:t>
      </w:r>
      <w:r w:rsidR="008B597B">
        <w:rPr>
          <w:lang w:eastAsia="zh-CN"/>
        </w:rPr>
        <w:t>solution#45</w:t>
      </w:r>
      <w:r>
        <w:rPr>
          <w:lang w:eastAsia="zh-CN"/>
        </w:rPr>
        <w:t>)</w:t>
      </w:r>
      <w:r>
        <w:rPr>
          <w:lang w:eastAsia="zh-CN"/>
        </w:rPr>
        <w:t>.</w:t>
      </w:r>
    </w:p>
    <w:p w14:paraId="458C9467" w14:textId="77777777" w:rsidR="00DF4CFD" w:rsidRDefault="00DF4CFD" w:rsidP="005A2871">
      <w:pPr>
        <w:pStyle w:val="B1"/>
        <w:ind w:leftChars="200" w:left="967"/>
        <w:rPr>
          <w:rFonts w:eastAsia="Malgun Gothic"/>
        </w:rPr>
      </w:pPr>
    </w:p>
    <w:p w14:paraId="24D12621" w14:textId="26C1C788" w:rsidR="005A2871" w:rsidRPr="00FA7ADF" w:rsidRDefault="00933F87" w:rsidP="00FA7ADF">
      <w:pPr>
        <w:pStyle w:val="B1"/>
        <w:numPr>
          <w:ilvl w:val="0"/>
          <w:numId w:val="17"/>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this can happen while in connected mode or when the UE is engaged in transition from Idle to connected mode. The reason is to enable the support of the maximum number of S-NSSAIs in the Allowed and partly allowed S-NSSAIs lists.</w:t>
      </w:r>
      <w:r w:rsidR="0049066A">
        <w:t xml:space="preserve"> </w:t>
      </w:r>
    </w:p>
    <w:p w14:paraId="57FB9E99" w14:textId="77777777" w:rsidR="00FA7ADF" w:rsidRDefault="00FA7ADF" w:rsidP="00FA7ADF">
      <w:pPr>
        <w:pStyle w:val="ae"/>
        <w:ind w:firstLine="400"/>
        <w:rPr>
          <w:lang w:val="en-US"/>
        </w:rPr>
      </w:pPr>
    </w:p>
    <w:p w14:paraId="1FC8AD93" w14:textId="77777777" w:rsidR="005A10F1" w:rsidRPr="008B597B" w:rsidRDefault="005A10F1" w:rsidP="005A10F1">
      <w:pPr>
        <w:rPr>
          <w:rFonts w:ascii="Arial" w:hAnsi="Arial" w:cs="Arial"/>
          <w:lang w:val="en-US" w:eastAsia="zh-CN"/>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11D706F2"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1CC0FD1E"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sidR="008B597B">
        <w:rPr>
          <w:rFonts w:ascii="Arial" w:hAnsi="Arial" w:cs="Arial"/>
          <w:bCs/>
        </w:rPr>
        <w:t>TBD</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E3384" w14:textId="77777777" w:rsidR="00E6361D" w:rsidRDefault="00E6361D">
      <w:r>
        <w:separator/>
      </w:r>
    </w:p>
  </w:endnote>
  <w:endnote w:type="continuationSeparator" w:id="0">
    <w:p w14:paraId="50849BEC" w14:textId="77777777" w:rsidR="00E6361D" w:rsidRDefault="00E6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FF1C9" w14:textId="77777777" w:rsidR="00E6361D" w:rsidRDefault="00E6361D">
      <w:r>
        <w:separator/>
      </w:r>
    </w:p>
  </w:footnote>
  <w:footnote w:type="continuationSeparator" w:id="0">
    <w:p w14:paraId="08E373BE" w14:textId="77777777" w:rsidR="00E6361D" w:rsidRDefault="00E636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S2#152</cp:lastModifiedBy>
  <cp:revision>2</cp:revision>
  <cp:lastPrinted>2002-04-23T07:10:00Z</cp:lastPrinted>
  <dcterms:created xsi:type="dcterms:W3CDTF">2022-08-27T02:34:00Z</dcterms:created>
  <dcterms:modified xsi:type="dcterms:W3CDTF">2022-08-27T02:34:00Z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